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4C901" w14:textId="77777777" w:rsidR="00FE0E4B" w:rsidRPr="00FE0E4B" w:rsidRDefault="00FE0E4B" w:rsidP="00FE0E4B">
      <w:pPr>
        <w:pStyle w:val="Paragrafoelenco"/>
        <w:ind w:right="369"/>
        <w:contextualSpacing w:val="0"/>
        <w:jc w:val="center"/>
        <w:rPr>
          <w:rFonts w:ascii="NeueHaasGroteskText Pro" w:hAnsi="NeueHaasGroteskText Pro"/>
          <w:b/>
          <w:sz w:val="18"/>
          <w:szCs w:val="18"/>
        </w:rPr>
      </w:pPr>
      <w:r w:rsidRPr="00FE0E4B">
        <w:rPr>
          <w:rFonts w:ascii="NeueHaasGroteskText Pro" w:hAnsi="NeueHaasGroteskText Pro"/>
          <w:b/>
          <w:sz w:val="18"/>
          <w:szCs w:val="18"/>
        </w:rPr>
        <w:t xml:space="preserve">Approvazione specifiche </w:t>
      </w:r>
    </w:p>
    <w:p w14:paraId="25FFFD09" w14:textId="77777777" w:rsidR="00FE0E4B" w:rsidRPr="00FE0E4B" w:rsidRDefault="00FE0E4B" w:rsidP="00FE0E4B">
      <w:pPr>
        <w:pStyle w:val="Paragrafoelenco"/>
        <w:ind w:right="369"/>
        <w:contextualSpacing w:val="0"/>
        <w:jc w:val="center"/>
        <w:rPr>
          <w:rFonts w:ascii="NeueHaasGroteskText Pro" w:hAnsi="NeueHaasGroteskText Pro"/>
          <w:b/>
          <w:sz w:val="18"/>
          <w:szCs w:val="18"/>
        </w:rPr>
      </w:pPr>
      <w:r w:rsidRPr="00FE0E4B">
        <w:rPr>
          <w:rFonts w:ascii="NeueHaasGroteskText Pro" w:hAnsi="NeueHaasGroteskText Pro"/>
          <w:b/>
          <w:sz w:val="18"/>
          <w:szCs w:val="18"/>
        </w:rPr>
        <w:t>Clausole vessatorie del Capitolato Speciale d’Appalto</w:t>
      </w:r>
    </w:p>
    <w:p w14:paraId="689B1BA8" w14:textId="77777777" w:rsidR="00FE0E4B" w:rsidRPr="00FE0E4B" w:rsidRDefault="00FE0E4B" w:rsidP="00FE0E4B">
      <w:pPr>
        <w:pStyle w:val="Paragrafoelenco"/>
        <w:ind w:right="369"/>
        <w:contextualSpacing w:val="0"/>
        <w:jc w:val="center"/>
        <w:rPr>
          <w:rFonts w:ascii="NeueHaasGroteskText Pro" w:hAnsi="NeueHaasGroteskText Pro"/>
          <w:sz w:val="18"/>
          <w:szCs w:val="18"/>
        </w:rPr>
      </w:pPr>
    </w:p>
    <w:p w14:paraId="2180F09F" w14:textId="77777777" w:rsidR="00FE0E4B" w:rsidRPr="00FE0E4B" w:rsidRDefault="00FE0E4B" w:rsidP="00FE0E4B">
      <w:pPr>
        <w:spacing w:after="360" w:line="320" w:lineRule="atLeast"/>
        <w:jc w:val="both"/>
        <w:rPr>
          <w:rFonts w:ascii="NeueHaasGroteskText Pro" w:hAnsi="NeueHaasGroteskText Pro" w:cs="Arial"/>
          <w:b/>
          <w:bCs/>
          <w:sz w:val="18"/>
          <w:szCs w:val="18"/>
        </w:rPr>
      </w:pPr>
      <w:r w:rsidRPr="00FE0E4B">
        <w:rPr>
          <w:rFonts w:ascii="NeueHaasGroteskText Pro" w:hAnsi="NeueHaasGroteskText Pro" w:cs="Arial"/>
          <w:b/>
          <w:bCs/>
          <w:sz w:val="18"/>
          <w:szCs w:val="18"/>
        </w:rPr>
        <w:t>PROCEDURA APERTA TELEMATICA PER L'AFFIDAMENTO DEL SERVIZIO DI NOTIFICAZIONE DEI VERBALI DI ACCERTAMENTO DELLE VIOLAZIONI AL CODICE DELLA STRADA, DI ATTI GIUDIZIARI E DI ATTI AMMINISTRATIVI DEL COMUNE DI PALERMO</w:t>
      </w:r>
      <w:r w:rsidRPr="00FE0E4B">
        <w:rPr>
          <w:rFonts w:ascii="NeueHaasGroteskText Pro" w:hAnsi="NeueHaasGroteskText Pro" w:cs="Candara"/>
          <w:b/>
          <w:sz w:val="18"/>
          <w:szCs w:val="18"/>
        </w:rPr>
        <w:t>.</w:t>
      </w:r>
    </w:p>
    <w:p w14:paraId="19FEA658" w14:textId="77777777" w:rsidR="00FE0E4B" w:rsidRDefault="00FE0E4B" w:rsidP="00FE0E4B">
      <w:pPr>
        <w:autoSpaceDE w:val="0"/>
        <w:autoSpaceDN w:val="0"/>
        <w:adjustRightInd w:val="0"/>
        <w:spacing w:after="120"/>
        <w:ind w:right="62"/>
        <w:jc w:val="center"/>
        <w:rPr>
          <w:rFonts w:ascii="NeueHaasGroteskText Pro" w:hAnsi="NeueHaasGroteskText Pro" w:cs="Candara"/>
          <w:b/>
          <w:sz w:val="18"/>
          <w:szCs w:val="18"/>
        </w:rPr>
      </w:pPr>
      <w:r w:rsidRPr="0066438A">
        <w:rPr>
          <w:rFonts w:ascii="NeueHaasGroteskText Pro" w:eastAsiaTheme="majorEastAsia" w:hAnsi="NeueHaasGroteskText Pro" w:cs="Arial"/>
          <w:b/>
          <w:bCs/>
          <w:color w:val="000000"/>
          <w:sz w:val="18"/>
          <w:szCs w:val="18"/>
        </w:rPr>
        <w:t xml:space="preserve">Codice SIMOG gara n. </w:t>
      </w:r>
      <w:r w:rsidRPr="00596045">
        <w:rPr>
          <w:rFonts w:ascii="NeueHaasGroteskText Pro" w:hAnsi="NeueHaasGroteskText Pro" w:cs="Candara"/>
          <w:b/>
          <w:sz w:val="18"/>
          <w:szCs w:val="18"/>
        </w:rPr>
        <w:t>8353834</w:t>
      </w:r>
    </w:p>
    <w:p w14:paraId="59403CAF" w14:textId="77777777" w:rsidR="00FE0E4B" w:rsidRPr="0066438A" w:rsidRDefault="00FE0E4B" w:rsidP="00FE0E4B">
      <w:pPr>
        <w:autoSpaceDE w:val="0"/>
        <w:autoSpaceDN w:val="0"/>
        <w:adjustRightInd w:val="0"/>
        <w:spacing w:after="120"/>
        <w:ind w:right="62"/>
        <w:jc w:val="center"/>
        <w:rPr>
          <w:rFonts w:ascii="NeueHaasGroteskText Pro" w:hAnsi="NeueHaasGroteskText Pro" w:cs="Arial"/>
          <w:b/>
          <w:bCs/>
          <w:color w:val="000000"/>
          <w:sz w:val="18"/>
          <w:szCs w:val="18"/>
        </w:rPr>
      </w:pPr>
      <w:r>
        <w:rPr>
          <w:rFonts w:ascii="NeueHaasGroteskText Pro" w:hAnsi="NeueHaasGroteskText Pro" w:cs="Candara"/>
          <w:b/>
          <w:sz w:val="18"/>
          <w:szCs w:val="18"/>
        </w:rPr>
        <w:t xml:space="preserve">CIG </w:t>
      </w:r>
      <w:r w:rsidRPr="0097315E">
        <w:rPr>
          <w:rFonts w:ascii="NeueHaasGroteskText Pro" w:hAnsi="NeueHaasGroteskText Pro" w:cs="Candara"/>
          <w:b/>
          <w:sz w:val="18"/>
          <w:szCs w:val="18"/>
        </w:rPr>
        <w:t>89841470A5</w:t>
      </w:r>
    </w:p>
    <w:p w14:paraId="7674C6ED" w14:textId="77777777" w:rsidR="00FE0E4B" w:rsidRPr="00FE0E4B" w:rsidRDefault="00FE0E4B" w:rsidP="00FE0E4B">
      <w:pPr>
        <w:pStyle w:val="Paragrafoelenco"/>
        <w:ind w:right="369"/>
        <w:contextualSpacing w:val="0"/>
        <w:rPr>
          <w:rFonts w:ascii="NeueHaasGroteskText Pro" w:hAnsi="NeueHaasGroteskText Pro"/>
          <w:b/>
          <w:sz w:val="18"/>
          <w:szCs w:val="18"/>
        </w:rPr>
      </w:pPr>
    </w:p>
    <w:p w14:paraId="79007957" w14:textId="77777777" w:rsidR="00FE0E4B" w:rsidRPr="00FE0E4B" w:rsidRDefault="00FE0E4B" w:rsidP="00FE0E4B">
      <w:pPr>
        <w:pStyle w:val="Paragrafoelenco"/>
        <w:ind w:right="369"/>
        <w:contextualSpacing w:val="0"/>
        <w:rPr>
          <w:rFonts w:ascii="NeueHaasGroteskText Pro" w:hAnsi="NeueHaasGroteskText Pro"/>
          <w:sz w:val="18"/>
          <w:szCs w:val="18"/>
        </w:rPr>
      </w:pPr>
      <w:r w:rsidRPr="00FE0E4B">
        <w:rPr>
          <w:rFonts w:ascii="NeueHaasGroteskText Pro" w:hAnsi="NeueHaasGroteskText Pro"/>
          <w:sz w:val="18"/>
          <w:szCs w:val="18"/>
        </w:rPr>
        <w:t>Il/La sottoscritto/</w:t>
      </w:r>
      <w:proofErr w:type="gramStart"/>
      <w:r w:rsidRPr="00FE0E4B">
        <w:rPr>
          <w:rFonts w:ascii="NeueHaasGroteskText Pro" w:hAnsi="NeueHaasGroteskText Pro"/>
          <w:sz w:val="18"/>
          <w:szCs w:val="18"/>
        </w:rPr>
        <w:t>a...</w:t>
      </w:r>
      <w:proofErr w:type="gramEnd"/>
      <w:r w:rsidRPr="00FE0E4B">
        <w:rPr>
          <w:rFonts w:ascii="NeueHaasGroteskText Pro" w:hAnsi="NeueHaasGroteskText Pro"/>
          <w:sz w:val="18"/>
          <w:szCs w:val="18"/>
        </w:rPr>
        <w:t xml:space="preserve">………............................................................... </w:t>
      </w:r>
      <w:proofErr w:type="gramStart"/>
      <w:r w:rsidRPr="00FE0E4B">
        <w:rPr>
          <w:rFonts w:ascii="NeueHaasGroteskText Pro" w:hAnsi="NeueHaasGroteskText Pro"/>
          <w:sz w:val="18"/>
          <w:szCs w:val="18"/>
        </w:rPr>
        <w:t>nato</w:t>
      </w:r>
      <w:proofErr w:type="gramEnd"/>
      <w:r w:rsidRPr="00FE0E4B">
        <w:rPr>
          <w:rFonts w:ascii="NeueHaasGroteskText Pro" w:hAnsi="NeueHaasGroteskText Pro"/>
          <w:sz w:val="18"/>
          <w:szCs w:val="18"/>
        </w:rPr>
        <w:t xml:space="preserve">/a……… il ........................ a…………………………………… residente a ............................................................................... </w:t>
      </w:r>
      <w:proofErr w:type="spellStart"/>
      <w:proofErr w:type="gramStart"/>
      <w:r w:rsidRPr="00FE0E4B">
        <w:rPr>
          <w:rFonts w:ascii="NeueHaasGroteskText Pro" w:hAnsi="NeueHaasGroteskText Pro"/>
          <w:sz w:val="18"/>
          <w:szCs w:val="18"/>
        </w:rPr>
        <w:t>prov</w:t>
      </w:r>
      <w:proofErr w:type="spellEnd"/>
      <w:proofErr w:type="gramEnd"/>
      <w:r w:rsidRPr="00FE0E4B">
        <w:rPr>
          <w:rFonts w:ascii="NeueHaasGroteskText Pro" w:hAnsi="NeueHaasGroteskText Pro"/>
          <w:sz w:val="18"/>
          <w:szCs w:val="18"/>
        </w:rPr>
        <w:t xml:space="preserve">. (......) via </w:t>
      </w:r>
      <w:proofErr w:type="gramStart"/>
      <w:r w:rsidRPr="00FE0E4B">
        <w:rPr>
          <w:rFonts w:ascii="NeueHaasGroteskText Pro" w:hAnsi="NeueHaasGroteskText Pro"/>
          <w:sz w:val="18"/>
          <w:szCs w:val="18"/>
        </w:rPr>
        <w:t>…….</w:t>
      </w:r>
      <w:proofErr w:type="gramEnd"/>
      <w:r w:rsidRPr="00FE0E4B">
        <w:rPr>
          <w:rFonts w:ascii="NeueHaasGroteskText Pro" w:hAnsi="NeueHaasGroteskText Pro"/>
          <w:sz w:val="18"/>
          <w:szCs w:val="18"/>
        </w:rPr>
        <w:t>.……….......................................................................................... n. .........., in qualità di Legale Rappresentante della società……</w:t>
      </w:r>
      <w:proofErr w:type="gramStart"/>
      <w:r w:rsidRPr="00FE0E4B">
        <w:rPr>
          <w:rFonts w:ascii="NeueHaasGroteskText Pro" w:hAnsi="NeueHaasGroteskText Pro"/>
          <w:sz w:val="18"/>
          <w:szCs w:val="18"/>
        </w:rPr>
        <w:t>…….</w:t>
      </w:r>
      <w:proofErr w:type="gramEnd"/>
      <w:r w:rsidRPr="00FE0E4B">
        <w:rPr>
          <w:rFonts w:ascii="NeueHaasGroteskText Pro" w:hAnsi="NeueHaasGroteskText Pro"/>
          <w:sz w:val="18"/>
          <w:szCs w:val="18"/>
        </w:rPr>
        <w:t>.…...........................................................................................</w:t>
      </w:r>
    </w:p>
    <w:p w14:paraId="223BF991" w14:textId="77777777" w:rsidR="00FE0E4B" w:rsidRPr="00FE0E4B" w:rsidRDefault="00FE0E4B" w:rsidP="00FE0E4B">
      <w:pPr>
        <w:spacing w:before="360"/>
        <w:ind w:left="709" w:right="369"/>
        <w:jc w:val="both"/>
        <w:rPr>
          <w:rFonts w:ascii="NeueHaasGroteskText Pro" w:eastAsia="Calibri" w:hAnsi="NeueHaasGroteskText Pro"/>
          <w:sz w:val="18"/>
          <w:szCs w:val="18"/>
          <w:lang w:eastAsia="en-US"/>
        </w:rPr>
      </w:pPr>
      <w:proofErr w:type="gramStart"/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>dichiara</w:t>
      </w:r>
      <w:proofErr w:type="gramEnd"/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espressamente di conoscere, accettare, ai sensi e per gli effetti di quanto disposto dall’art. 1341 del Codice Civile, le seguenti clausole contrattuali:</w:t>
      </w:r>
    </w:p>
    <w:p w14:paraId="71E1E5FF" w14:textId="4B12B25F" w:rsidR="00FE0E4B" w:rsidRPr="00FE0E4B" w:rsidRDefault="00FE0E4B" w:rsidP="00FE0E4B">
      <w:pPr>
        <w:spacing w:before="360" w:after="120"/>
        <w:ind w:left="709" w:right="369"/>
        <w:jc w:val="both"/>
        <w:rPr>
          <w:rFonts w:ascii="NeueHaasGroteskText Pro" w:eastAsia="Calibri" w:hAnsi="NeueHaasGroteskText Pro"/>
          <w:sz w:val="18"/>
          <w:szCs w:val="18"/>
          <w:lang w:eastAsia="en-US"/>
        </w:rPr>
      </w:pP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Art. 2 </w:t>
      </w:r>
      <w:r w:rsidRPr="00FE0E4B">
        <w:rPr>
          <w:rFonts w:ascii="NeueHaasGroteskText Pro" w:hAnsi="NeueHaasGroteskText Pro"/>
          <w:sz w:val="18"/>
          <w:szCs w:val="18"/>
        </w:rPr>
        <w:t>(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>Oggetto</w:t>
      </w:r>
      <w:r w:rsidRPr="00FE0E4B">
        <w:rPr>
          <w:rFonts w:ascii="NeueHaasGroteskText Pro" w:hAnsi="NeueHaasGroteskText Pro"/>
          <w:sz w:val="18"/>
          <w:szCs w:val="18"/>
        </w:rPr>
        <w:t xml:space="preserve">); 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>Art. 3 (Ulteriori obblighi de</w:t>
      </w:r>
      <w:r>
        <w:rPr>
          <w:rFonts w:ascii="NeueHaasGroteskText Pro" w:eastAsia="Calibri" w:hAnsi="NeueHaasGroteskText Pro"/>
          <w:sz w:val="18"/>
          <w:szCs w:val="18"/>
          <w:lang w:eastAsia="en-US"/>
        </w:rPr>
        <w:t>l Fornitore); Art. 4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(</w:t>
      </w:r>
      <w:r>
        <w:rPr>
          <w:rFonts w:ascii="NeueHaasGroteskText Pro" w:eastAsia="Calibri" w:hAnsi="NeueHaasGroteskText Pro"/>
          <w:sz w:val="18"/>
          <w:szCs w:val="18"/>
          <w:lang w:eastAsia="en-US"/>
        </w:rPr>
        <w:t>Variazione, i</w:t>
      </w:r>
      <w:r w:rsidRPr="00FE0E4B">
        <w:rPr>
          <w:rFonts w:ascii="NeueHaasGroteskText Pro" w:hAnsi="NeueHaasGroteskText Pro"/>
          <w:sz w:val="18"/>
          <w:szCs w:val="18"/>
        </w:rPr>
        <w:t>ntegrazione o diminuzione della fornitura);</w:t>
      </w:r>
      <w:r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Art. 5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(Referenti della fornitura);</w:t>
      </w:r>
      <w:r w:rsidRPr="00FE0E4B">
        <w:rPr>
          <w:rFonts w:ascii="NeueHaasGroteskText Pro" w:hAnsi="NeueHaasGroteskText Pro"/>
          <w:sz w:val="18"/>
          <w:szCs w:val="18"/>
        </w:rPr>
        <w:t xml:space="preserve"> </w:t>
      </w:r>
      <w:r>
        <w:rPr>
          <w:rFonts w:ascii="NeueHaasGroteskText Pro" w:hAnsi="NeueHaasGroteskText Pro"/>
          <w:sz w:val="18"/>
          <w:szCs w:val="18"/>
        </w:rPr>
        <w:t>Art. 6</w:t>
      </w:r>
      <w:r w:rsidRPr="00FE0E4B">
        <w:rPr>
          <w:rFonts w:ascii="NeueHaasGroteskText Pro" w:hAnsi="NeueHaasGroteskText Pro"/>
          <w:sz w:val="18"/>
          <w:szCs w:val="18"/>
        </w:rPr>
        <w:t xml:space="preserve"> (Durata del servizio);</w:t>
      </w:r>
      <w:r w:rsidRPr="00FE0E4B">
        <w:rPr>
          <w:rFonts w:ascii="NeueHaasGroteskText Pro" w:hAnsi="NeueHaasGroteskText Pro"/>
          <w:b/>
          <w:sz w:val="18"/>
          <w:szCs w:val="18"/>
        </w:rPr>
        <w:t xml:space="preserve"> </w:t>
      </w:r>
      <w:r>
        <w:rPr>
          <w:rFonts w:ascii="NeueHaasGroteskText Pro" w:hAnsi="NeueHaasGroteskText Pro"/>
          <w:b/>
          <w:sz w:val="18"/>
          <w:szCs w:val="18"/>
        </w:rPr>
        <w:t>A</w:t>
      </w:r>
      <w:r w:rsidRPr="00FE0E4B">
        <w:rPr>
          <w:rFonts w:ascii="NeueHaasGroteskText Pro" w:hAnsi="NeueHaasGroteskText Pro"/>
          <w:sz w:val="18"/>
          <w:szCs w:val="18"/>
        </w:rPr>
        <w:t xml:space="preserve">rt. </w:t>
      </w:r>
      <w:r>
        <w:rPr>
          <w:rFonts w:ascii="NeueHaasGroteskText Pro" w:hAnsi="NeueHaasGroteskText Pro"/>
          <w:sz w:val="18"/>
          <w:szCs w:val="18"/>
        </w:rPr>
        <w:t>7 (Consegna del Servizio); Art. 8</w:t>
      </w:r>
      <w:r w:rsidRPr="00FE0E4B">
        <w:rPr>
          <w:rFonts w:ascii="NeueHaasGroteskText Pro" w:hAnsi="NeueHaasGroteskText Pro"/>
          <w:sz w:val="18"/>
          <w:szCs w:val="18"/>
        </w:rPr>
        <w:t xml:space="preserve"> (Caratteristiche e fasi del servizio di notificazione);</w:t>
      </w:r>
      <w:r w:rsidRPr="00FE0E4B">
        <w:rPr>
          <w:rFonts w:ascii="NeueHaasGroteskText Pro" w:hAnsi="NeueHaasGroteskText Pro" w:cs="Candara"/>
          <w:i/>
          <w:sz w:val="18"/>
          <w:szCs w:val="18"/>
        </w:rPr>
        <w:t xml:space="preserve"> </w:t>
      </w:r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>Art. 11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</w:t>
      </w:r>
      <w:r w:rsidRPr="00FE0E4B">
        <w:rPr>
          <w:rFonts w:ascii="NeueHaasGroteskText Pro" w:hAnsi="NeueHaasGroteskText Pro"/>
          <w:sz w:val="18"/>
          <w:szCs w:val="18"/>
        </w:rPr>
        <w:t>(S</w:t>
      </w:r>
      <w:r w:rsidR="008B7D77">
        <w:rPr>
          <w:rFonts w:ascii="NeueHaasGroteskText Pro" w:hAnsi="NeueHaasGroteskText Pro"/>
          <w:sz w:val="18"/>
          <w:szCs w:val="18"/>
        </w:rPr>
        <w:t>ubappalto, forme</w:t>
      </w:r>
      <w:r>
        <w:rPr>
          <w:rFonts w:ascii="NeueHaasGroteskText Pro" w:hAnsi="NeueHaasGroteskText Pro"/>
          <w:sz w:val="18"/>
          <w:szCs w:val="18"/>
        </w:rPr>
        <w:t xml:space="preserve"> di collaborazione ex art. 105 </w:t>
      </w:r>
      <w:proofErr w:type="spellStart"/>
      <w:r>
        <w:rPr>
          <w:rFonts w:ascii="NeueHaasGroteskText Pro" w:hAnsi="NeueHaasGroteskText Pro"/>
          <w:sz w:val="18"/>
          <w:szCs w:val="18"/>
        </w:rPr>
        <w:t>D.Lgs</w:t>
      </w:r>
      <w:r w:rsidRPr="00FE0E4B">
        <w:rPr>
          <w:rFonts w:ascii="NeueHaasGroteskText Pro" w:hAnsi="NeueHaasGroteskText Pro"/>
          <w:sz w:val="18"/>
          <w:szCs w:val="18"/>
        </w:rPr>
        <w:t>.</w:t>
      </w:r>
      <w:proofErr w:type="spellEnd"/>
      <w:r w:rsidRPr="00FE0E4B">
        <w:rPr>
          <w:rFonts w:ascii="NeueHaasGroteskText Pro" w:hAnsi="NeueHaasGroteskText Pro"/>
          <w:sz w:val="18"/>
          <w:szCs w:val="18"/>
        </w:rPr>
        <w:t xml:space="preserve"> 50/2016 </w:t>
      </w:r>
      <w:r>
        <w:rPr>
          <w:rFonts w:ascii="NeueHaasGroteskText Pro" w:hAnsi="NeueHaasGroteskText Pro"/>
          <w:sz w:val="18"/>
          <w:szCs w:val="18"/>
        </w:rPr>
        <w:t>e cessione</w:t>
      </w:r>
      <w:r w:rsidRPr="00FE0E4B">
        <w:rPr>
          <w:rFonts w:ascii="NeueHaasGroteskText Pro" w:hAnsi="NeueHaasGroteskText Pro"/>
          <w:sz w:val="18"/>
          <w:szCs w:val="18"/>
        </w:rPr>
        <w:t xml:space="preserve">); 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>A</w:t>
      </w:r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>rt. 12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</w:t>
      </w:r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>(Adeguamenti normativi); Art. 14</w:t>
      </w:r>
      <w:r w:rsidRPr="00FE0E4B">
        <w:rPr>
          <w:rFonts w:ascii="NeueHaasGroteskText Pro" w:hAnsi="NeueHaasGroteskText Pro" w:cs="Candara"/>
          <w:i/>
          <w:sz w:val="18"/>
          <w:szCs w:val="18"/>
        </w:rPr>
        <w:t xml:space="preserve"> </w:t>
      </w:r>
      <w:r w:rsidRPr="00FE0E4B">
        <w:rPr>
          <w:rFonts w:ascii="NeueHaasGroteskText Pro" w:hAnsi="NeueHaasGroteskText Pro"/>
          <w:sz w:val="18"/>
          <w:szCs w:val="18"/>
        </w:rPr>
        <w:t>(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>Corrispettiv</w:t>
      </w:r>
      <w:r w:rsidRPr="00FE0E4B">
        <w:rPr>
          <w:rFonts w:ascii="NeueHaasGroteskText Pro" w:hAnsi="NeueHaasGroteskText Pro"/>
          <w:sz w:val="18"/>
          <w:szCs w:val="18"/>
        </w:rPr>
        <w:t xml:space="preserve">i); </w:t>
      </w:r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>Art. 15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</w:t>
      </w:r>
      <w:r w:rsidRPr="00FE0E4B">
        <w:rPr>
          <w:rFonts w:ascii="NeueHaasGroteskText Pro" w:hAnsi="NeueHaasGroteskText Pro"/>
          <w:sz w:val="18"/>
          <w:szCs w:val="18"/>
        </w:rPr>
        <w:t>(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>Fatturazione e pagamenti</w:t>
      </w:r>
      <w:r w:rsidRPr="00FE0E4B">
        <w:rPr>
          <w:rFonts w:ascii="NeueHaasGroteskText Pro" w:hAnsi="NeueHaasGroteskText Pro"/>
          <w:sz w:val="18"/>
          <w:szCs w:val="18"/>
        </w:rPr>
        <w:t xml:space="preserve">); </w:t>
      </w:r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>Art. 16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(Rispetto del </w:t>
      </w:r>
      <w:proofErr w:type="spellStart"/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>D.Lgs</w:t>
      </w:r>
      <w:proofErr w:type="spellEnd"/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26</w:t>
      </w:r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>1/99 e della L. 890/82); art. 17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(Livelli di servizio);</w:t>
      </w:r>
      <w:r w:rsidRPr="00FE0E4B">
        <w:rPr>
          <w:rFonts w:ascii="NeueHaasGroteskText Pro" w:hAnsi="NeueHaasGroteskText Pro" w:cs="Candara"/>
          <w:i/>
          <w:sz w:val="18"/>
          <w:szCs w:val="18"/>
        </w:rPr>
        <w:t xml:space="preserve"> </w:t>
      </w:r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>Art. 18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</w:t>
      </w:r>
      <w:r w:rsidRPr="00FE0E4B">
        <w:rPr>
          <w:rFonts w:ascii="NeueHaasGroteskText Pro" w:hAnsi="NeueHaasGroteskText Pro"/>
          <w:sz w:val="18"/>
          <w:szCs w:val="18"/>
        </w:rPr>
        <w:t>(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>Penali</w:t>
      </w:r>
      <w:r w:rsidRPr="00FE0E4B">
        <w:rPr>
          <w:rFonts w:ascii="NeueHaasGroteskText Pro" w:hAnsi="NeueHaasGroteskText Pro"/>
          <w:sz w:val="18"/>
          <w:szCs w:val="18"/>
        </w:rPr>
        <w:t xml:space="preserve">); </w:t>
      </w:r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>Art. 19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</w:t>
      </w:r>
      <w:r w:rsidRPr="00FE0E4B">
        <w:rPr>
          <w:rFonts w:ascii="NeueHaasGroteskText Pro" w:hAnsi="NeueHaasGroteskText Pro"/>
          <w:sz w:val="18"/>
          <w:szCs w:val="18"/>
        </w:rPr>
        <w:t xml:space="preserve">(Garanzia definitiva); </w:t>
      </w:r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>Art. 20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(Assicurazioni);</w:t>
      </w:r>
      <w:r w:rsidRPr="00FE0E4B">
        <w:rPr>
          <w:rFonts w:ascii="NeueHaasGroteskText Pro" w:hAnsi="NeueHaasGroteskText Pro"/>
          <w:b/>
          <w:sz w:val="18"/>
          <w:szCs w:val="18"/>
        </w:rPr>
        <w:t xml:space="preserve"> </w:t>
      </w:r>
      <w:r w:rsidRPr="00FE0E4B">
        <w:rPr>
          <w:rFonts w:ascii="NeueHaasGroteskText Pro" w:hAnsi="NeueHaasGroteskText Pro"/>
          <w:sz w:val="18"/>
          <w:szCs w:val="18"/>
        </w:rPr>
        <w:t>Art</w:t>
      </w:r>
      <w:r w:rsidR="008B7D77">
        <w:rPr>
          <w:rFonts w:ascii="NeueHaasGroteskText Pro" w:hAnsi="NeueHaasGroteskText Pro"/>
          <w:sz w:val="18"/>
          <w:szCs w:val="18"/>
        </w:rPr>
        <w:t>. 21</w:t>
      </w:r>
      <w:r w:rsidRPr="00FE0E4B">
        <w:rPr>
          <w:rFonts w:ascii="NeueHaasGroteskText Pro" w:hAnsi="NeueHaasGroteskText Pro"/>
          <w:sz w:val="18"/>
          <w:szCs w:val="18"/>
        </w:rPr>
        <w:t xml:space="preserve"> (Obblighi specifici derivanti dall’attuazione </w:t>
      </w:r>
      <w:r w:rsidR="008B7D77">
        <w:rPr>
          <w:rFonts w:ascii="NeueHaasGroteskText Pro" w:hAnsi="NeueHaasGroteskText Pro"/>
          <w:sz w:val="18"/>
          <w:szCs w:val="18"/>
        </w:rPr>
        <w:t>del Patto di Integrità); Art. 22</w:t>
      </w:r>
      <w:r w:rsidRPr="00FE0E4B">
        <w:rPr>
          <w:rFonts w:ascii="NeueHaasGroteskText Pro" w:hAnsi="NeueHaasGroteskText Pro"/>
          <w:sz w:val="18"/>
          <w:szCs w:val="18"/>
        </w:rPr>
        <w:t xml:space="preserve"> (Trattamento dati personali ex REG EU 2016/679 e obbligo di riservatezza); </w:t>
      </w:r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>Art. 23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(Responsabilità amministrativa delle persone giuridiche ex D. </w:t>
      </w:r>
      <w:proofErr w:type="spellStart"/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>Lgs</w:t>
      </w:r>
      <w:proofErr w:type="spellEnd"/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>. 231/2001 e Tracciabilità dei flussi finanziari ex L. 136/10);</w:t>
      </w:r>
      <w:r w:rsidRPr="00FE0E4B">
        <w:rPr>
          <w:rFonts w:ascii="NeueHaasGroteskText Pro" w:hAnsi="NeueHaasGroteskText Pro"/>
          <w:sz w:val="18"/>
          <w:szCs w:val="18"/>
        </w:rPr>
        <w:t xml:space="preserve"> </w:t>
      </w:r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>Art. 24</w:t>
      </w:r>
      <w:r w:rsidRPr="00FE0E4B">
        <w:rPr>
          <w:rFonts w:ascii="NeueHaasGroteskText Pro" w:hAnsi="NeueHaasGroteskText Pro"/>
          <w:sz w:val="18"/>
          <w:szCs w:val="18"/>
        </w:rPr>
        <w:t xml:space="preserve"> 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>(Adempime</w:t>
      </w:r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nti ex D. </w:t>
      </w:r>
      <w:proofErr w:type="spellStart"/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>Lgs</w:t>
      </w:r>
      <w:proofErr w:type="spellEnd"/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>. 81/2008); Art. 25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(Vicende modificative ed estintive del rapporto contrattuale);</w:t>
      </w:r>
      <w:r w:rsidRPr="00FE0E4B">
        <w:rPr>
          <w:rFonts w:ascii="NeueHaasGroteskText Pro" w:eastAsia="Calibri" w:hAnsi="NeueHaasGroteskText Pro"/>
          <w:b/>
          <w:sz w:val="18"/>
          <w:szCs w:val="18"/>
          <w:lang w:eastAsia="en-US"/>
        </w:rPr>
        <w:t xml:space="preserve"> </w:t>
      </w:r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>Art. 26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(Responsabilità in caso di avvalimento);</w:t>
      </w:r>
      <w:r w:rsidRPr="00FE0E4B">
        <w:rPr>
          <w:rFonts w:ascii="NeueHaasGroteskText Pro" w:eastAsia="Calibri" w:hAnsi="NeueHaasGroteskText Pro"/>
          <w:b/>
          <w:sz w:val="18"/>
          <w:szCs w:val="18"/>
          <w:lang w:eastAsia="en-US"/>
        </w:rPr>
        <w:t xml:space="preserve"> </w:t>
      </w:r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>Art. 30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(Oneri fiscal</w:t>
      </w:r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>i e spese contrattuali); Art. 31</w:t>
      </w:r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(Obblighi nei confronti dei dipendenti); </w:t>
      </w:r>
      <w:r w:rsidR="008B7D77">
        <w:rPr>
          <w:rFonts w:ascii="NeueHaasGroteskText Pro" w:eastAsia="Calibri" w:hAnsi="NeueHaasGroteskText Pro"/>
          <w:sz w:val="18"/>
          <w:szCs w:val="18"/>
          <w:lang w:eastAsia="en-US"/>
        </w:rPr>
        <w:t>Art. 32 (Clausola di salvaguardia); Art. 34</w:t>
      </w:r>
      <w:bookmarkStart w:id="0" w:name="_GoBack"/>
      <w:bookmarkEnd w:id="0"/>
      <w:r w:rsidRPr="00FE0E4B">
        <w:rPr>
          <w:rFonts w:ascii="NeueHaasGroteskText Pro" w:eastAsia="Calibri" w:hAnsi="NeueHaasGroteskText Pro"/>
          <w:sz w:val="18"/>
          <w:szCs w:val="18"/>
          <w:lang w:eastAsia="en-US"/>
        </w:rPr>
        <w:t xml:space="preserve"> (Domicilio e foro competente).</w:t>
      </w:r>
    </w:p>
    <w:p w14:paraId="02415BEE" w14:textId="77777777" w:rsidR="00FE0E4B" w:rsidRPr="00FE0E4B" w:rsidRDefault="00FE0E4B" w:rsidP="00FE0E4B">
      <w:pPr>
        <w:autoSpaceDE w:val="0"/>
        <w:autoSpaceDN w:val="0"/>
        <w:adjustRightInd w:val="0"/>
        <w:ind w:right="339"/>
        <w:jc w:val="both"/>
        <w:rPr>
          <w:rFonts w:ascii="NeueHaasGroteskText Pro" w:hAnsi="NeueHaasGroteskText Pro" w:cs="Arial"/>
          <w:sz w:val="18"/>
          <w:szCs w:val="18"/>
        </w:rPr>
      </w:pPr>
    </w:p>
    <w:p w14:paraId="20706958" w14:textId="77777777" w:rsidR="00FE0E4B" w:rsidRPr="00FE0E4B" w:rsidRDefault="00FE0E4B" w:rsidP="00FE0E4B">
      <w:pPr>
        <w:autoSpaceDE w:val="0"/>
        <w:autoSpaceDN w:val="0"/>
        <w:adjustRightInd w:val="0"/>
        <w:ind w:right="339"/>
        <w:jc w:val="both"/>
        <w:rPr>
          <w:rFonts w:ascii="NeueHaasGroteskText Pro" w:hAnsi="NeueHaasGroteskText Pro" w:cs="Arial"/>
          <w:sz w:val="18"/>
          <w:szCs w:val="18"/>
        </w:rPr>
      </w:pPr>
      <w:r w:rsidRPr="00FE0E4B">
        <w:rPr>
          <w:rFonts w:ascii="NeueHaasGroteskText Pro" w:hAnsi="NeueHaasGroteskText Pro" w:cs="Arial"/>
          <w:sz w:val="18"/>
          <w:szCs w:val="18"/>
        </w:rPr>
        <w:t>Data ___________________</w:t>
      </w:r>
    </w:p>
    <w:p w14:paraId="13860B13" w14:textId="77777777" w:rsidR="00FE0E4B" w:rsidRPr="00FE0E4B" w:rsidRDefault="00FE0E4B" w:rsidP="00FE0E4B">
      <w:pPr>
        <w:autoSpaceDE w:val="0"/>
        <w:autoSpaceDN w:val="0"/>
        <w:adjustRightInd w:val="0"/>
        <w:ind w:right="339"/>
        <w:jc w:val="right"/>
        <w:rPr>
          <w:rFonts w:ascii="NeueHaasGroteskText Pro" w:hAnsi="NeueHaasGroteskText Pro" w:cs="Arial"/>
          <w:sz w:val="18"/>
          <w:szCs w:val="18"/>
        </w:rPr>
      </w:pPr>
    </w:p>
    <w:p w14:paraId="3F18BF46" w14:textId="65092532" w:rsidR="00BE4AE4" w:rsidRPr="00FE0E4B" w:rsidRDefault="00BE4AE4" w:rsidP="00FE0E4B">
      <w:pPr>
        <w:rPr>
          <w:rFonts w:ascii="NeueHaasGroteskText Pro" w:hAnsi="NeueHaasGroteskText Pro"/>
          <w:sz w:val="18"/>
          <w:szCs w:val="18"/>
        </w:rPr>
      </w:pPr>
    </w:p>
    <w:sectPr w:rsidR="00BE4AE4" w:rsidRPr="00FE0E4B" w:rsidSect="007B3D7F">
      <w:headerReference w:type="default" r:id="rId7"/>
      <w:pgSz w:w="11906" w:h="16838" w:code="9"/>
      <w:pgMar w:top="3402" w:right="1814" w:bottom="2268" w:left="1474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D2023" w14:textId="77777777" w:rsidR="009757A3" w:rsidRDefault="009757A3" w:rsidP="00BD5116">
      <w:r>
        <w:separator/>
      </w:r>
    </w:p>
  </w:endnote>
  <w:endnote w:type="continuationSeparator" w:id="0">
    <w:p w14:paraId="33F9634B" w14:textId="77777777" w:rsidR="009757A3" w:rsidRDefault="009757A3" w:rsidP="00BD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eHaasGroteskText Pro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8EC66" w14:textId="77777777" w:rsidR="009757A3" w:rsidRDefault="009757A3" w:rsidP="00BD5116">
      <w:r>
        <w:separator/>
      </w:r>
    </w:p>
  </w:footnote>
  <w:footnote w:type="continuationSeparator" w:id="0">
    <w:p w14:paraId="2723B323" w14:textId="77777777" w:rsidR="009757A3" w:rsidRDefault="009757A3" w:rsidP="00BD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89EE" w14:textId="18FB031D" w:rsidR="00BD5116" w:rsidRDefault="00BD5116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33DAF" wp14:editId="65503487">
          <wp:simplePos x="0" y="0"/>
          <wp:positionH relativeFrom="page">
            <wp:posOffset>723900</wp:posOffset>
          </wp:positionH>
          <wp:positionV relativeFrom="page">
            <wp:posOffset>683895</wp:posOffset>
          </wp:positionV>
          <wp:extent cx="1087200" cy="468000"/>
          <wp:effectExtent l="0" t="0" r="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62B1B"/>
    <w:multiLevelType w:val="multilevel"/>
    <w:tmpl w:val="CFE659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210B20"/>
    <w:multiLevelType w:val="multilevel"/>
    <w:tmpl w:val="F9A49ADE"/>
    <w:lvl w:ilvl="0">
      <w:start w:val="1"/>
      <w:numFmt w:val="bullet"/>
      <w:lvlText w:val=""/>
      <w:lvlJc w:val="left"/>
      <w:pPr>
        <w:ind w:left="1077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  <w:sz w:val="22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  <w:sz w:val="22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>
    <w:nsid w:val="684161D4"/>
    <w:multiLevelType w:val="multilevel"/>
    <w:tmpl w:val="7E0C3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8D2110"/>
    <w:multiLevelType w:val="multilevel"/>
    <w:tmpl w:val="47A4B5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16"/>
    <w:rsid w:val="00415CDD"/>
    <w:rsid w:val="0066438A"/>
    <w:rsid w:val="006810F0"/>
    <w:rsid w:val="006D3CEE"/>
    <w:rsid w:val="007B3D7F"/>
    <w:rsid w:val="008B7D77"/>
    <w:rsid w:val="00974537"/>
    <w:rsid w:val="009757A3"/>
    <w:rsid w:val="009F3A15"/>
    <w:rsid w:val="00B54706"/>
    <w:rsid w:val="00BD5116"/>
    <w:rsid w:val="00BE4AE4"/>
    <w:rsid w:val="00CB3B15"/>
    <w:rsid w:val="00D00A62"/>
    <w:rsid w:val="00F27E67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A706"/>
  <w15:chartTrackingRefBased/>
  <w15:docId w15:val="{AFCE5D8C-C5AF-43A2-95DA-237E8286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43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66438A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link w:val="Titolo3Carattere"/>
    <w:qFormat/>
    <w:rsid w:val="0066438A"/>
    <w:pPr>
      <w:keepNext/>
      <w:jc w:val="both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5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116"/>
  </w:style>
  <w:style w:type="paragraph" w:styleId="Pidipagina">
    <w:name w:val="footer"/>
    <w:basedOn w:val="Normale"/>
    <w:link w:val="PidipaginaCarattere"/>
    <w:uiPriority w:val="99"/>
    <w:unhideWhenUsed/>
    <w:rsid w:val="00BD5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116"/>
  </w:style>
  <w:style w:type="character" w:customStyle="1" w:styleId="Titolo2Carattere">
    <w:name w:val="Titolo 2 Carattere"/>
    <w:basedOn w:val="Carpredefinitoparagrafo"/>
    <w:link w:val="Titolo2"/>
    <w:rsid w:val="0066438A"/>
    <w:rPr>
      <w:rFonts w:ascii="Times New Roman" w:eastAsia="Times New Roman" w:hAnsi="Times New Roman" w:cs="Times New Roman"/>
      <w:b/>
      <w:bCs/>
      <w:color w:val="00000A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66438A"/>
    <w:rPr>
      <w:rFonts w:ascii="Times New Roman" w:eastAsia="Times New Roman" w:hAnsi="Times New Roman" w:cs="Times New Roman"/>
      <w:i/>
      <w:iCs/>
      <w:color w:val="00000A"/>
      <w:sz w:val="24"/>
      <w:szCs w:val="24"/>
      <w:lang w:eastAsia="it-IT"/>
    </w:rPr>
  </w:style>
  <w:style w:type="character" w:customStyle="1" w:styleId="CorpotestoCarattere">
    <w:name w:val="Corpo testo Carattere"/>
    <w:link w:val="Corpotesto1"/>
    <w:semiHidden/>
    <w:qFormat/>
    <w:rsid w:val="0066438A"/>
    <w:rPr>
      <w:sz w:val="24"/>
      <w:szCs w:val="24"/>
    </w:rPr>
  </w:style>
  <w:style w:type="paragraph" w:customStyle="1" w:styleId="Corpotesto1">
    <w:name w:val="Corpo testo1"/>
    <w:basedOn w:val="Normale"/>
    <w:link w:val="CorpotestoCarattere"/>
    <w:semiHidden/>
    <w:qFormat/>
    <w:rsid w:val="0066438A"/>
    <w:pPr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66438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6438A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Sispi S.p.A.</dc:creator>
  <cp:keywords/>
  <dc:description/>
  <cp:lastModifiedBy>Valentina Pasta</cp:lastModifiedBy>
  <cp:revision>2</cp:revision>
  <cp:lastPrinted>2021-09-29T13:13:00Z</cp:lastPrinted>
  <dcterms:created xsi:type="dcterms:W3CDTF">2021-11-18T13:33:00Z</dcterms:created>
  <dcterms:modified xsi:type="dcterms:W3CDTF">2021-11-18T13:33:00Z</dcterms:modified>
</cp:coreProperties>
</file>